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2D" w:rsidRPr="00AC472D" w:rsidRDefault="00AC472D" w:rsidP="00AC472D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</w:pPr>
      <w:r w:rsidRPr="00AC472D"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  <w:t>АҒ</w:t>
      </w:r>
      <w:bookmarkStart w:id="0" w:name="_GoBack"/>
      <w:bookmarkEnd w:id="0"/>
      <w:r w:rsidRPr="00AC472D"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  <w:t>ЫЛШЫН ТІЛІН ҮЙРЕТУДЕГІ ТИІМДІ ЖАҢА ӘДІ</w:t>
      </w:r>
      <w:proofErr w:type="gramStart"/>
      <w:r w:rsidRPr="00AC472D"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  <w:t>С-Т</w:t>
      </w:r>
      <w:proofErr w:type="gramEnd"/>
      <w:r w:rsidRPr="00AC472D"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</w:rPr>
        <w:t>ӘСІЛДЕР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Аңдатпа</w:t>
      </w:r>
      <w:proofErr w:type="spellEnd"/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мақалада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пәні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маңызы,тиімді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әдіс-тәсілдері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туралы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айтылады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формалары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сөйлеу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тәжірибесінің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сапасын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арттыруға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сөйлеу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мотивациясының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пайда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болуына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ықпал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етеді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Презентациялар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ікірталастар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жобалық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іс-шаралар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рөлдік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ойындар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әдістердің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барлығы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сабақ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барысында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бейресми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атмосфераны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танып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қоймай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шығармашылық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қабілеттерін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қызығушылықтарын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ашады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Түйін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сөздер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: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бәсекеге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қабілеттілік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диалог,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ікірталас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Аннотация 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В этой статье обсуждается важность и эффективные методы обучения английскому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языку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.У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величить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качество разговорной практики и способствовать появлению мотивации к разговорной речи способствует использование интерактивных форм и методов преподавания английского языка. Презентации, дискуссии, проектная деятельность, ролевые игры - все эти методики не только сознают более неформальную обстановку во время урока, но и раскрывает творческие способности учащихся, их интересы.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Қазіргі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таңда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сапалы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беру –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тәрбиелеудің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үздіксіз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үдерісі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Қазіргі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ңа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талаптар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емес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қазіргі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заман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мұғаліміне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қойылады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мұғалімдер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тек «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сабақ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беруші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»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емес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баланың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ортасын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құра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арлатын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ынтасы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қызығушылығын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оята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алатын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тиянақты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меңгерте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алатын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маман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болуы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тиіс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үнемі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жаңашылдыққа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болуы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керек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сапасына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оны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әдіс-тәсілдері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технологиясына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жоғары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талаптар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қойылып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оқушыны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нағыз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бәсекеге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қабілетті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тұлға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ретінде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тәрбиелеу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беру –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жаңашыл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ұстазға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қойылар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басты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талаптардың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саналады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Барлық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дамыған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елдерде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:</w:t>
      </w:r>
    </w:p>
    <w:p w:rsidR="00AC472D" w:rsidRPr="00AC472D" w:rsidRDefault="00AC472D" w:rsidP="00AC4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өздігінен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;</w:t>
      </w:r>
    </w:p>
    <w:p w:rsidR="00AC472D" w:rsidRPr="00AC472D" w:rsidRDefault="00AC472D" w:rsidP="00AC4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н-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тәрбиелеуге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;</w:t>
      </w:r>
    </w:p>
    <w:p w:rsidR="00AC472D" w:rsidRPr="00AC472D" w:rsidRDefault="00AC472D" w:rsidP="00AC4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ажетт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ақпаратты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бетімен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алуға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;</w:t>
      </w:r>
    </w:p>
    <w:p w:rsidR="00AC472D" w:rsidRPr="00AC472D" w:rsidRDefault="00AC472D" w:rsidP="00AC4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проблемаларды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бөлі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көрсетуге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оларды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шешу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жолдарын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іздеуге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,</w:t>
      </w:r>
    </w:p>
    <w:p w:rsidR="00AC472D" w:rsidRPr="00AC472D" w:rsidRDefault="00AC472D" w:rsidP="00AC4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білімдерін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сыни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тұ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ғыдан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талдай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</w:p>
    <w:p w:rsidR="00AC472D" w:rsidRPr="00AC472D" w:rsidRDefault="00AC472D" w:rsidP="00AC47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оны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ңа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мәселелерді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шешуде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бағытталған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[1].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пәні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оқытудағы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басты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міндеттер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бәсекеге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қабілетті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үш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жеткізе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алатын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болашақ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мамандарды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дайындау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үшін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беруде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тиімді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әрі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қолайлы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әдіс-тәсілдерді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пайдаланып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қызығушылығын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арттыру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үшін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сабақты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түрлендіріп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отыру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шығармашылық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қабілеттерін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арттыру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әні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жеке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тұлға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ретінде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қалыптасуына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да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елеулі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рөл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атқарады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 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әдістемелік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жүйесі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тәуелсіз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ашық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дамып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келе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жатқан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жүйе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ретінде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қарастырылады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ақпаратты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қ-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беру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ортасымен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өзара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әрекеттесу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барысында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нормативті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дараланған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мақсаттарына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жеткізуін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қамтамасыз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етеді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 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тілін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оқытудағы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басты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назар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аударатын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әрекеттерге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мыналар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жатады</w:t>
      </w:r>
      <w:proofErr w:type="spellEnd"/>
      <w:r w:rsidRPr="00AC472D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:</w:t>
      </w:r>
    </w:p>
    <w:p w:rsidR="00AC472D" w:rsidRPr="00AC472D" w:rsidRDefault="00AC472D" w:rsidP="00AC4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жүйелі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түрде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жүргізу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Үйрету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күнделікті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өмірде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жиі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қолданылатын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контекстерден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басталады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Тапсырманы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қабілетіне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қарай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беру.</w:t>
      </w:r>
    </w:p>
    <w:p w:rsidR="00AC472D" w:rsidRPr="00AC472D" w:rsidRDefault="00AC472D" w:rsidP="00AC47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Оқу</w:t>
      </w:r>
      <w:proofErr w:type="spellEnd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материалдарын</w:t>
      </w:r>
      <w:proofErr w:type="spellEnd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шындыққа</w:t>
      </w:r>
      <w:proofErr w:type="spellEnd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сай</w:t>
      </w:r>
      <w:proofErr w:type="spellEnd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еті</w:t>
      </w:r>
      <w:proofErr w:type="gram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п</w:t>
      </w:r>
      <w:proofErr w:type="spellEnd"/>
      <w:proofErr w:type="gramEnd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алу</w:t>
      </w:r>
      <w:proofErr w:type="spellEnd"/>
      <w:r w:rsidRPr="00AC472D"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  <w:t>[2].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Үйрену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–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қарапайымнан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үрделіге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қарай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ұстанымы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арқылы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жүзеге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асады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Қазіргі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таңда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педагогикалық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процесті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дамытуда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ушы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берудің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негізгі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субъектісі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мәртебесін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байланысты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жаңа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тәсілдер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енгізілді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Осыған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әдістеріне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тереңірек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тоқталайық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термині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бүгінде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техникалық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тұ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ғыдан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да,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педагогикалық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тұрғыдан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да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інші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жағдайда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қолданушымен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өзара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әрекеттесуді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ұйымдастыруға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арналған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бағдарлама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интерфейсінің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қасиеті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Екінші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мағынада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термині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бірқатар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сипаттағанда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жағдайда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әрекеттесуі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 «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»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«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interact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»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өзара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әрекеттесу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бір-бі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әсер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сөзінен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шыққан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алдымен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топтағы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диалогтық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қары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м-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қатынасты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дамытуға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бағытталған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әдістердің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артықшылығы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олар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кезінде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психологиялық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тосқауылды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жеңуге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мүмкіндік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оны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тәжірибесін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игеруге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мүмкіндік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арқылы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жаңа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дағдыларды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игере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отырып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ұйымдастырған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сабақ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формаларына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үлкен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ынтамен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қатысады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онда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уақытының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ед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әуір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бөлігі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сөйлеу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практикасына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арналған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[3].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әдістеріне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дә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ст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үрлі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түрде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презентация,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сұхбаттасу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рөлдік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ойындар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пікірталастар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ой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қозғау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практикалық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мәселелермен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конкурстар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оларды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кейін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талқылау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жоспарлар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жобалар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жасау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шығармашылық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іс-шаралар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өткізу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мультимедиялық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компьютерлік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бағдарламаларды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пайдалану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сөйлейтін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мамандарды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тарту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кіреді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ікірталас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формалары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мақсатты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жүйелі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түрде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пікір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алмасу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Негізгі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шарттар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ікірталастың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сұрақ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немесе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тақырыппен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шектелуі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Талқылау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барысында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айтылған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кез-келген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ой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дәлелді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болуы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керек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өлді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Мектеп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үшін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сыртқы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әлемнен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әсерлерді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өңдеу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тәсілі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өлдік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ойындарда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қарым-қатынасқа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қажеттілікті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дамыта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отырып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ойлау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қиялдың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эмоционалдылықтың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белсенділіктің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ерекшеліктері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айқын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көрінеді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Рөлдік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тұлғаны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дамыту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үшін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өте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маңызды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[4].</w:t>
      </w:r>
    </w:p>
    <w:p w:rsidR="00AC472D" w:rsidRPr="00AC472D" w:rsidRDefault="00AC472D" w:rsidP="00AC472D">
      <w:pPr>
        <w:shd w:val="clear" w:color="auto" w:fill="FFFFFF"/>
        <w:spacing w:after="0"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ушылар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арналған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қызықты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ойындардың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келесі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мысалдарына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тоқтала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өтсем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Тақырып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бойынша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сөзді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сөздерді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орынды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көздейтін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ойындар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ұсынылады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:</w:t>
      </w:r>
    </w:p>
    <w:p w:rsidR="00AC472D" w:rsidRPr="00AC472D" w:rsidRDefault="00AC472D" w:rsidP="00AC47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Grab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a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minute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–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картаға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жазылған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терминді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сипаттау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үшін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1 минут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уақыт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беріледі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Қатысушы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осы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немесе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термин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туралы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мәні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мысалдары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туралы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көбірек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ақпарат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беруі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керек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Карточкада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көрсетілген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тақырып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немесе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термин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туралы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неғұрлым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толық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және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дә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йект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ақпаратты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ұсынған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жеңімпаз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болып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табылады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An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item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description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карталарда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көрсетілген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немесе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тіркесін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сөздің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атамай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немесе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қимылдарды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қолданбай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сипаттау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қажет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жағдайда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қалған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тобы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белсенді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атқарады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сөзді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болжауы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керек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 Sans" w:eastAsia="Times New Roman" w:hAnsi="PT Sans" w:cs="Times New Roman"/>
          <w:color w:val="212529"/>
          <w:sz w:val="21"/>
          <w:szCs w:val="21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Chain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story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логикалық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қиял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даралықтың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кө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інісі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.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мәні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алдыңғы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ойын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жалғастыру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[5].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сабағының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р</w:t>
      </w:r>
      <w:proofErr w:type="spellEnd"/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түрлі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кезеңдерінде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интерактивті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технологияларын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қолдану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-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үйренуге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деген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ынтасын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арттырудың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әдісі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ғана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емес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сонымен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қатар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сыныптағы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атмосфераны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жақсарту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бұл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арасындағы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ынтымақтастық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пен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өзара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түсінушілікке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ықпал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етеді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</w:t>
      </w:r>
    </w:p>
    <w:p w:rsidR="00AC472D" w:rsidRPr="00AC472D" w:rsidRDefault="00AC472D" w:rsidP="00AC472D">
      <w:pPr>
        <w:shd w:val="clear" w:color="auto" w:fill="FFFFFF"/>
        <w:spacing w:line="259" w:lineRule="atLeast"/>
        <w:ind w:firstLine="567"/>
        <w:jc w:val="both"/>
        <w:rPr>
          <w:rFonts w:ascii="Calibri" w:eastAsia="Times New Roman" w:hAnsi="Calibri" w:cs="Calibri"/>
          <w:color w:val="212529"/>
          <w:sz w:val="23"/>
          <w:szCs w:val="23"/>
          <w:lang w:eastAsia="ru-RU"/>
        </w:rPr>
      </w:pP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lastRenderedPageBreak/>
        <w:t>Жалпы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алғанда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пәні</w:t>
      </w:r>
      <w:proofErr w:type="gram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н</w:t>
      </w:r>
      <w:proofErr w:type="gram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мұғалімі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тек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өзінің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пәндік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саласын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меңгеріп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қана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қоймай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ағылшын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тілі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 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пәнін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оқытудың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тиімді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жолдары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мен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ақпараттық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–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коммуникациялық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технологияларды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жетік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меңгеріп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,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оқушыларға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сапалы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білім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беруге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жағдай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жасауы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</w:t>
      </w:r>
      <w:proofErr w:type="spellStart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тиіс</w:t>
      </w:r>
      <w:proofErr w:type="spellEnd"/>
      <w:r w:rsidRPr="00AC472D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. </w:t>
      </w:r>
    </w:p>
    <w:p w:rsidR="00FB33A7" w:rsidRPr="00965419" w:rsidRDefault="00FB33A7" w:rsidP="00965419">
      <w:pPr>
        <w:rPr>
          <w:sz w:val="20"/>
        </w:rPr>
      </w:pPr>
    </w:p>
    <w:sectPr w:rsidR="00FB33A7" w:rsidRPr="00965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62"/>
    <w:multiLevelType w:val="multilevel"/>
    <w:tmpl w:val="6222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2842"/>
    <w:multiLevelType w:val="multilevel"/>
    <w:tmpl w:val="30E4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B3001"/>
    <w:multiLevelType w:val="multilevel"/>
    <w:tmpl w:val="91A0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19"/>
    <w:rsid w:val="00035442"/>
    <w:rsid w:val="00965419"/>
    <w:rsid w:val="00AC472D"/>
    <w:rsid w:val="00E05C2D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9"/>
    <w:rPr>
      <w:lang w:val="ru-RU"/>
    </w:rPr>
  </w:style>
  <w:style w:type="paragraph" w:styleId="1">
    <w:name w:val="heading 1"/>
    <w:basedOn w:val="a"/>
    <w:link w:val="10"/>
    <w:uiPriority w:val="9"/>
    <w:qFormat/>
    <w:rsid w:val="00AC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65419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19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C472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19"/>
    <w:rPr>
      <w:lang w:val="ru-RU"/>
    </w:rPr>
  </w:style>
  <w:style w:type="paragraph" w:styleId="1">
    <w:name w:val="heading 1"/>
    <w:basedOn w:val="a"/>
    <w:link w:val="10"/>
    <w:uiPriority w:val="9"/>
    <w:qFormat/>
    <w:rsid w:val="00AC4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65419"/>
    <w:pPr>
      <w:spacing w:after="0" w:line="240" w:lineRule="auto"/>
    </w:pPr>
    <w:rPr>
      <w:rFonts w:eastAsia="Times New Roman"/>
      <w:kern w:val="2"/>
      <w:sz w:val="21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65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19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C472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AC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Покиза Кадиршикова</dc:creator>
  <cp:lastModifiedBy>Lenovo</cp:lastModifiedBy>
  <cp:revision>2</cp:revision>
  <dcterms:created xsi:type="dcterms:W3CDTF">2025-02-26T17:15:00Z</dcterms:created>
  <dcterms:modified xsi:type="dcterms:W3CDTF">2025-02-26T17:15:00Z</dcterms:modified>
</cp:coreProperties>
</file>